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EC5" w:rsidRPr="001528DB" w:rsidRDefault="00D71730" w:rsidP="00D71730">
      <w:pPr>
        <w:spacing w:beforeLines="1" w:afterLines="1"/>
        <w:jc w:val="center"/>
        <w:rPr>
          <w:rFonts w:ascii="Trebuchet MS" w:hAnsi="Trebuchet MS" w:cs="Times New Roman"/>
          <w:color w:val="7F7F7F" w:themeColor="text1" w:themeTint="80"/>
          <w:sz w:val="22"/>
          <w:szCs w:val="20"/>
          <w:u w:val="single"/>
          <w:vertAlign w:val="superscript"/>
        </w:rPr>
      </w:pPr>
      <w:r w:rsidRPr="00D71730">
        <w:rPr>
          <w:rFonts w:ascii="Trebuchet MS" w:hAnsi="Trebuchet MS" w:cs="Times New Roman"/>
          <w:b/>
          <w:sz w:val="22"/>
          <w:szCs w:val="20"/>
        </w:rPr>
        <w:t>The Twelve Stages of the Journey</w:t>
      </w:r>
      <w:r w:rsidR="001528DB">
        <w:rPr>
          <w:rFonts w:ascii="Trebuchet MS" w:hAnsi="Trebuchet MS" w:cs="Times New Roman"/>
          <w:b/>
          <w:sz w:val="22"/>
          <w:szCs w:val="20"/>
        </w:rPr>
        <w:br/>
      </w:r>
      <w:r w:rsidR="001528DB" w:rsidRPr="001528DB">
        <w:rPr>
          <w:rFonts w:ascii="Trebuchet MS" w:hAnsi="Trebuchet MS" w:cs="Times New Roman"/>
          <w:color w:val="7F7F7F" w:themeColor="text1" w:themeTint="80"/>
          <w:sz w:val="22"/>
          <w:szCs w:val="20"/>
        </w:rPr>
        <w:t>Christopher Vogler, “The Writer’s journey”,based on Joseph Campbell</w:t>
      </w:r>
      <w:r w:rsidR="001528DB">
        <w:rPr>
          <w:rFonts w:ascii="Trebuchet MS" w:hAnsi="Trebuchet MS" w:cs="Times New Roman"/>
          <w:color w:val="7F7F7F" w:themeColor="text1" w:themeTint="80"/>
          <w:sz w:val="22"/>
          <w:szCs w:val="20"/>
        </w:rPr>
        <w:t>’s</w:t>
      </w:r>
      <w:r w:rsidR="001528DB" w:rsidRPr="001528DB">
        <w:rPr>
          <w:rFonts w:ascii="Trebuchet MS" w:hAnsi="Trebuchet MS" w:cs="Times New Roman"/>
          <w:color w:val="7F7F7F" w:themeColor="text1" w:themeTint="80"/>
          <w:sz w:val="22"/>
          <w:szCs w:val="20"/>
        </w:rPr>
        <w:t xml:space="preserve"> work on </w:t>
      </w:r>
      <w:r w:rsidR="001528DB">
        <w:rPr>
          <w:rFonts w:ascii="Trebuchet MS" w:hAnsi="Trebuchet MS" w:cs="Times New Roman"/>
          <w:color w:val="7F7F7F" w:themeColor="text1" w:themeTint="80"/>
          <w:sz w:val="22"/>
          <w:szCs w:val="20"/>
        </w:rPr>
        <w:t xml:space="preserve">the structure of </w:t>
      </w:r>
      <w:r w:rsidR="001528DB" w:rsidRPr="001528DB">
        <w:rPr>
          <w:rFonts w:ascii="Trebuchet MS" w:hAnsi="Trebuchet MS" w:cs="Times New Roman"/>
          <w:color w:val="7F7F7F" w:themeColor="text1" w:themeTint="80"/>
          <w:sz w:val="22"/>
          <w:szCs w:val="20"/>
        </w:rPr>
        <w:t>Myth</w:t>
      </w:r>
      <w:r w:rsidR="001528DB">
        <w:rPr>
          <w:rFonts w:ascii="Trebuchet MS" w:hAnsi="Trebuchet MS" w:cs="Times New Roman"/>
          <w:color w:val="7F7F7F" w:themeColor="text1" w:themeTint="80"/>
          <w:sz w:val="22"/>
          <w:szCs w:val="20"/>
        </w:rPr>
        <w:t>s,</w:t>
      </w:r>
      <w:r w:rsidR="00ED603D">
        <w:rPr>
          <w:rFonts w:ascii="Trebuchet MS" w:hAnsi="Trebuchet MS" w:cs="Times New Roman"/>
          <w:color w:val="7F7F7F" w:themeColor="text1" w:themeTint="80"/>
          <w:sz w:val="22"/>
          <w:szCs w:val="20"/>
        </w:rPr>
        <w:t xml:space="preserve"> legends and our own psyche.</w:t>
      </w:r>
    </w:p>
    <w:p w:rsidR="00D71730" w:rsidRPr="001528DB" w:rsidRDefault="00D71730" w:rsidP="00D71730">
      <w:pPr>
        <w:spacing w:beforeLines="1" w:afterLines="1"/>
        <w:jc w:val="center"/>
        <w:rPr>
          <w:rFonts w:ascii="Trebuchet MS" w:hAnsi="Trebuchet MS" w:cs="Times New Roman"/>
          <w:color w:val="7F7F7F" w:themeColor="text1" w:themeTint="80"/>
          <w:sz w:val="22"/>
          <w:szCs w:val="20"/>
          <w:vertAlign w:val="superscript"/>
        </w:rPr>
      </w:pPr>
    </w:p>
    <w:p w:rsidR="00D71730" w:rsidRPr="00D71730" w:rsidRDefault="00D71730" w:rsidP="00D71730">
      <w:pPr>
        <w:spacing w:beforeLines="1" w:afterLines="1"/>
        <w:jc w:val="center"/>
        <w:rPr>
          <w:rFonts w:ascii="Trebuchet MS" w:hAnsi="Trebuchet MS" w:cs="Times New Roman"/>
          <w:sz w:val="22"/>
          <w:szCs w:val="20"/>
        </w:rPr>
      </w:pPr>
    </w:p>
    <w:p w:rsidR="00D71730" w:rsidRPr="00D71730" w:rsidRDefault="00D71730" w:rsidP="00D71730">
      <w:pPr>
        <w:numPr>
          <w:ilvl w:val="0"/>
          <w:numId w:val="1"/>
        </w:numPr>
        <w:spacing w:beforeLines="1" w:afterLines="1"/>
        <w:rPr>
          <w:rFonts w:ascii="Trebuchet MS" w:hAnsi="Trebuchet MS"/>
          <w:sz w:val="22"/>
          <w:szCs w:val="20"/>
        </w:rPr>
      </w:pPr>
      <w:r w:rsidRPr="00D71730">
        <w:rPr>
          <w:rFonts w:ascii="Trebuchet MS" w:hAnsi="Trebuchet MS"/>
          <w:b/>
          <w:sz w:val="22"/>
          <w:szCs w:val="20"/>
        </w:rPr>
        <w:t>Ordinary World:</w:t>
      </w:r>
      <w:r w:rsidRPr="00D71730">
        <w:rPr>
          <w:rFonts w:ascii="Trebuchet MS" w:hAnsi="Trebuchet MS"/>
          <w:sz w:val="22"/>
          <w:szCs w:val="20"/>
        </w:rPr>
        <w:t> </w:t>
      </w:r>
      <w:r w:rsidRPr="00D71730">
        <w:rPr>
          <w:rFonts w:ascii="Trebuchet MS" w:hAnsi="Trebuchet MS"/>
          <w:sz w:val="22"/>
          <w:szCs w:val="20"/>
        </w:rPr>
        <w:br/>
        <w:t xml:space="preserve"> The Hero's home, the safe haven upon which the Special World and the Jour</w:t>
      </w:r>
      <w:r w:rsidR="00BF3654">
        <w:rPr>
          <w:rFonts w:ascii="Trebuchet MS" w:hAnsi="Trebuchet MS"/>
          <w:sz w:val="22"/>
          <w:szCs w:val="20"/>
        </w:rPr>
        <w:t>ney's outcome must be compared.</w:t>
      </w:r>
      <w:r w:rsidRPr="00D71730">
        <w:rPr>
          <w:rFonts w:ascii="Trebuchet MS" w:hAnsi="Trebuchet MS"/>
          <w:sz w:val="22"/>
          <w:szCs w:val="20"/>
        </w:rPr>
        <w:t>  The Journey begins in the Ordinary World, travels to the Special World, and returns to the Ordinary World.</w:t>
      </w:r>
      <w:r>
        <w:rPr>
          <w:rFonts w:ascii="Trebuchet MS" w:hAnsi="Trebuchet MS"/>
          <w:sz w:val="22"/>
          <w:szCs w:val="20"/>
        </w:rPr>
        <w:br/>
      </w:r>
    </w:p>
    <w:p w:rsidR="00D71730" w:rsidRPr="00D71730" w:rsidRDefault="00D71730" w:rsidP="00D71730">
      <w:pPr>
        <w:numPr>
          <w:ilvl w:val="0"/>
          <w:numId w:val="1"/>
        </w:numPr>
        <w:spacing w:beforeLines="1" w:afterLines="1"/>
        <w:rPr>
          <w:rFonts w:ascii="Trebuchet MS" w:hAnsi="Trebuchet MS"/>
          <w:sz w:val="22"/>
          <w:szCs w:val="20"/>
        </w:rPr>
      </w:pPr>
      <w:r w:rsidRPr="00D71730">
        <w:rPr>
          <w:rFonts w:ascii="Trebuchet MS" w:hAnsi="Trebuchet MS"/>
          <w:b/>
          <w:sz w:val="22"/>
          <w:szCs w:val="20"/>
        </w:rPr>
        <w:t>Call to Adventure:</w:t>
      </w:r>
      <w:r w:rsidRPr="00D71730">
        <w:rPr>
          <w:rFonts w:ascii="Trebuchet MS" w:hAnsi="Trebuchet MS"/>
          <w:sz w:val="22"/>
          <w:szCs w:val="20"/>
        </w:rPr>
        <w:t> </w:t>
      </w:r>
      <w:r w:rsidRPr="00D71730">
        <w:rPr>
          <w:rFonts w:ascii="Trebuchet MS" w:hAnsi="Trebuchet MS"/>
          <w:sz w:val="22"/>
          <w:szCs w:val="20"/>
        </w:rPr>
        <w:br/>
        <w:t>The Call to Adventure sets the story rolling by disrupting the comfort of the Hero's Ordinary World, presenting a challenge or quest that must be undertaken.</w:t>
      </w:r>
      <w:r>
        <w:rPr>
          <w:rFonts w:ascii="Trebuchet MS" w:hAnsi="Trebuchet MS"/>
          <w:sz w:val="22"/>
          <w:szCs w:val="20"/>
        </w:rPr>
        <w:br/>
      </w:r>
    </w:p>
    <w:p w:rsidR="00D71730" w:rsidRPr="00D71730" w:rsidRDefault="00D71730" w:rsidP="00D71730">
      <w:pPr>
        <w:numPr>
          <w:ilvl w:val="0"/>
          <w:numId w:val="1"/>
        </w:numPr>
        <w:spacing w:beforeLines="1" w:afterLines="1"/>
        <w:rPr>
          <w:rFonts w:ascii="Trebuchet MS" w:hAnsi="Trebuchet MS"/>
          <w:sz w:val="22"/>
          <w:szCs w:val="20"/>
        </w:rPr>
      </w:pPr>
      <w:r w:rsidRPr="00D71730">
        <w:rPr>
          <w:rFonts w:ascii="Trebuchet MS" w:hAnsi="Trebuchet MS"/>
          <w:b/>
          <w:sz w:val="22"/>
          <w:szCs w:val="20"/>
        </w:rPr>
        <w:t>Refusal of the Call:</w:t>
      </w:r>
      <w:r w:rsidRPr="00D71730">
        <w:rPr>
          <w:rFonts w:ascii="Trebuchet MS" w:hAnsi="Trebuchet MS"/>
          <w:sz w:val="22"/>
          <w:szCs w:val="20"/>
        </w:rPr>
        <w:br/>
        <w:t xml:space="preserve">A Hero often refuses [or is reluctant] to take on the Journey because of fears and insecurities that have surfaced from the Call to Adventure.  This becomes an essential stage that communicates the risks involved in the Journey that lies ahead.  </w:t>
      </w:r>
      <w:r>
        <w:rPr>
          <w:rFonts w:ascii="Trebuchet MS" w:hAnsi="Trebuchet MS"/>
          <w:sz w:val="22"/>
          <w:szCs w:val="20"/>
        </w:rPr>
        <w:br/>
      </w:r>
    </w:p>
    <w:p w:rsidR="00D71730" w:rsidRPr="00BF3654" w:rsidRDefault="00D71730" w:rsidP="00BF3654">
      <w:pPr>
        <w:numPr>
          <w:ilvl w:val="0"/>
          <w:numId w:val="1"/>
        </w:numPr>
        <w:spacing w:beforeLines="1" w:afterLines="1"/>
        <w:rPr>
          <w:rFonts w:ascii="Trebuchet MS" w:hAnsi="Trebuchet MS"/>
          <w:sz w:val="22"/>
          <w:szCs w:val="20"/>
        </w:rPr>
      </w:pPr>
      <w:r w:rsidRPr="00D71730">
        <w:rPr>
          <w:rFonts w:ascii="Trebuchet MS" w:hAnsi="Trebuchet MS"/>
          <w:b/>
          <w:sz w:val="22"/>
          <w:szCs w:val="20"/>
        </w:rPr>
        <w:t>Overcoming fear: Meeting with the Mentor.</w:t>
      </w:r>
      <w:r w:rsidRPr="00D71730">
        <w:rPr>
          <w:rFonts w:ascii="Trebuchet MS" w:hAnsi="Trebuchet MS"/>
          <w:sz w:val="22"/>
          <w:szCs w:val="20"/>
        </w:rPr>
        <w:t xml:space="preserve">  </w:t>
      </w:r>
      <w:r w:rsidRPr="00D71730">
        <w:rPr>
          <w:rFonts w:ascii="Trebuchet MS" w:hAnsi="Trebuchet MS"/>
          <w:sz w:val="22"/>
          <w:szCs w:val="20"/>
        </w:rPr>
        <w:br/>
        <w:t>The Hero meets a Mentor to gain confidence, insight, advice, training, or magical gifts to overcome the initial fears and face the Threshold of the adventure.  The Mentor may be a physical person, or an object such as a map, a logbook, or other writing.</w:t>
      </w:r>
      <w:r>
        <w:rPr>
          <w:rFonts w:ascii="Trebuchet MS" w:hAnsi="Trebuchet MS"/>
          <w:sz w:val="22"/>
          <w:szCs w:val="20"/>
        </w:rPr>
        <w:br/>
      </w:r>
    </w:p>
    <w:p w:rsidR="00D71730" w:rsidRPr="00D71730" w:rsidRDefault="00D71730" w:rsidP="00D71730">
      <w:pPr>
        <w:numPr>
          <w:ilvl w:val="0"/>
          <w:numId w:val="1"/>
        </w:numPr>
        <w:spacing w:beforeLines="1" w:afterLines="1"/>
        <w:rPr>
          <w:rFonts w:ascii="Trebuchet MS" w:hAnsi="Trebuchet MS"/>
          <w:sz w:val="22"/>
          <w:szCs w:val="20"/>
        </w:rPr>
      </w:pPr>
      <w:r w:rsidRPr="00D71730">
        <w:rPr>
          <w:rFonts w:ascii="Trebuchet MS" w:hAnsi="Trebuchet MS"/>
          <w:b/>
          <w:sz w:val="22"/>
          <w:szCs w:val="20"/>
        </w:rPr>
        <w:t>Crossing the Threshold:</w:t>
      </w:r>
      <w:r w:rsidRPr="00D71730">
        <w:rPr>
          <w:rFonts w:ascii="Trebuchet MS" w:hAnsi="Trebuchet MS"/>
          <w:sz w:val="22"/>
          <w:szCs w:val="20"/>
        </w:rPr>
        <w:t> </w:t>
      </w:r>
      <w:r w:rsidRPr="00D71730">
        <w:rPr>
          <w:rFonts w:ascii="Trebuchet MS" w:hAnsi="Trebuchet MS"/>
          <w:sz w:val="22"/>
          <w:szCs w:val="20"/>
        </w:rPr>
        <w:br/>
        <w:t xml:space="preserve"> Crossing the threshold signifies that the Hero has finally committed to the Journey.  He is prepared to cross the gateway that separates the Ordinary World from the Special World.</w:t>
      </w:r>
      <w:r>
        <w:rPr>
          <w:rFonts w:ascii="Trebuchet MS" w:hAnsi="Trebuchet MS"/>
          <w:sz w:val="22"/>
          <w:szCs w:val="20"/>
        </w:rPr>
        <w:br/>
      </w:r>
    </w:p>
    <w:p w:rsidR="00D71730" w:rsidRPr="00D71730" w:rsidRDefault="00D71730" w:rsidP="00D71730">
      <w:pPr>
        <w:numPr>
          <w:ilvl w:val="0"/>
          <w:numId w:val="1"/>
        </w:numPr>
        <w:spacing w:beforeLines="1" w:afterLines="1"/>
        <w:rPr>
          <w:rFonts w:ascii="Trebuchet MS" w:hAnsi="Trebuchet MS"/>
          <w:sz w:val="22"/>
          <w:szCs w:val="20"/>
        </w:rPr>
      </w:pPr>
      <w:r w:rsidRPr="00D71730">
        <w:rPr>
          <w:rFonts w:ascii="Trebuchet MS" w:hAnsi="Trebuchet MS"/>
          <w:b/>
          <w:sz w:val="22"/>
          <w:szCs w:val="20"/>
        </w:rPr>
        <w:t>Testing the new world: allies and Enemies.</w:t>
      </w:r>
      <w:r w:rsidRPr="00D71730">
        <w:rPr>
          <w:rFonts w:ascii="Trebuchet MS" w:hAnsi="Trebuchet MS"/>
          <w:sz w:val="22"/>
          <w:szCs w:val="20"/>
        </w:rPr>
        <w:br/>
        <w:t xml:space="preserve"> Having crossed the threshold, the Hero faces Tests, encounters Allies, confronts Enemies, and learns the rules of this Special World.  The Hero needs to find out who can be trusted.  Allies are earned, a Sidekick may join up, or an entire Hero Team forged.  The Hero must prepare himself for the greater Ordeals yet to come and needs this stage to test his skills and powers, or perhaps seek further training from the Mentor.</w:t>
      </w:r>
      <w:r>
        <w:rPr>
          <w:rFonts w:ascii="Trebuchet MS" w:hAnsi="Trebuchet MS"/>
          <w:sz w:val="22"/>
          <w:szCs w:val="20"/>
        </w:rPr>
        <w:br/>
      </w:r>
    </w:p>
    <w:p w:rsidR="00D71730" w:rsidRPr="00D71730" w:rsidRDefault="00D71730" w:rsidP="00D71730">
      <w:pPr>
        <w:numPr>
          <w:ilvl w:val="0"/>
          <w:numId w:val="1"/>
        </w:numPr>
        <w:spacing w:beforeLines="1" w:afterLines="1"/>
        <w:rPr>
          <w:rFonts w:ascii="Trebuchet MS" w:hAnsi="Trebuchet MS"/>
          <w:sz w:val="22"/>
          <w:szCs w:val="20"/>
        </w:rPr>
      </w:pPr>
      <w:r w:rsidRPr="00D71730">
        <w:rPr>
          <w:rFonts w:ascii="Trebuchet MS" w:hAnsi="Trebuchet MS"/>
          <w:b/>
          <w:sz w:val="22"/>
          <w:szCs w:val="20"/>
        </w:rPr>
        <w:t>Approach to the Inmost Cave</w:t>
      </w:r>
      <w:r w:rsidRPr="00D71730">
        <w:rPr>
          <w:rFonts w:ascii="Trebuchet MS" w:hAnsi="Trebuchet MS"/>
          <w:sz w:val="22"/>
          <w:szCs w:val="20"/>
        </w:rPr>
        <w:t>: </w:t>
      </w:r>
      <w:r w:rsidRPr="00D71730">
        <w:rPr>
          <w:rFonts w:ascii="Trebuchet MS" w:hAnsi="Trebuchet MS"/>
          <w:sz w:val="22"/>
          <w:szCs w:val="20"/>
        </w:rPr>
        <w:br/>
        <w:t>The Hero must make the preparations needed to approach the Inmost Cave that leads to the Journey's heart, or central Ordeal.  Maps may be reviewed, attacks planned, a reconnaissance launched, and possibly the enemies forces whittled down before the Hero can face his greatest fear, or the supreme danger lurking in the Special World.  The Approach may be a time for some romance or a few jokes before the battle, or it may signal a ticking clock or a heightening of the stakes.</w:t>
      </w:r>
      <w:r>
        <w:rPr>
          <w:rFonts w:ascii="Trebuchet MS" w:hAnsi="Trebuchet MS"/>
          <w:sz w:val="22"/>
          <w:szCs w:val="20"/>
        </w:rPr>
        <w:br/>
      </w:r>
    </w:p>
    <w:p w:rsidR="00D71730" w:rsidRPr="00D71730" w:rsidRDefault="00D71730" w:rsidP="00D71730">
      <w:pPr>
        <w:numPr>
          <w:ilvl w:val="0"/>
          <w:numId w:val="1"/>
        </w:numPr>
        <w:spacing w:beforeLines="1" w:afterLines="1"/>
        <w:rPr>
          <w:rFonts w:ascii="Trebuchet MS" w:hAnsi="Trebuchet MS"/>
          <w:sz w:val="22"/>
          <w:szCs w:val="20"/>
        </w:rPr>
      </w:pPr>
      <w:r w:rsidRPr="00D71730">
        <w:rPr>
          <w:rFonts w:ascii="Trebuchet MS" w:hAnsi="Trebuchet MS"/>
          <w:b/>
          <w:sz w:val="22"/>
          <w:szCs w:val="20"/>
        </w:rPr>
        <w:t>Ordeal</w:t>
      </w:r>
      <w:r w:rsidRPr="00D71730">
        <w:rPr>
          <w:rFonts w:ascii="Trebuchet MS" w:hAnsi="Trebuchet MS"/>
          <w:sz w:val="22"/>
          <w:szCs w:val="20"/>
        </w:rPr>
        <w:t>: </w:t>
      </w:r>
      <w:r w:rsidRPr="00D71730">
        <w:rPr>
          <w:rFonts w:ascii="Trebuchet MS" w:hAnsi="Trebuchet MS"/>
          <w:sz w:val="22"/>
          <w:szCs w:val="20"/>
        </w:rPr>
        <w:br/>
        <w:t xml:space="preserve"> The Hero engages in central life-or-death crisis, during which he faces his greatest fear, confronts his most difficult challenge, and experiences "death".  His Journey teeters on the brink of failure.  The Ordeal is the central magical Stage of any Journey.</w:t>
      </w:r>
      <w:r>
        <w:rPr>
          <w:rFonts w:ascii="Trebuchet MS" w:hAnsi="Trebuchet MS"/>
          <w:sz w:val="22"/>
          <w:szCs w:val="20"/>
        </w:rPr>
        <w:br/>
      </w:r>
    </w:p>
    <w:p w:rsidR="00D71730" w:rsidRPr="00D71730" w:rsidRDefault="00D71730" w:rsidP="00D71730">
      <w:pPr>
        <w:numPr>
          <w:ilvl w:val="0"/>
          <w:numId w:val="1"/>
        </w:numPr>
        <w:spacing w:beforeLines="1" w:afterLines="1"/>
        <w:rPr>
          <w:rFonts w:ascii="Trebuchet MS" w:hAnsi="Trebuchet MS"/>
          <w:sz w:val="22"/>
          <w:szCs w:val="20"/>
        </w:rPr>
      </w:pPr>
      <w:r w:rsidRPr="00D71730">
        <w:rPr>
          <w:rFonts w:ascii="Trebuchet MS" w:hAnsi="Trebuchet MS"/>
          <w:b/>
          <w:sz w:val="22"/>
          <w:szCs w:val="20"/>
        </w:rPr>
        <w:t>Reward (Seizing the Sword):</w:t>
      </w:r>
      <w:r w:rsidRPr="00D71730">
        <w:rPr>
          <w:rFonts w:ascii="Trebuchet MS" w:hAnsi="Trebuchet MS"/>
          <w:sz w:val="22"/>
          <w:szCs w:val="20"/>
        </w:rPr>
        <w:br/>
        <w:t>The Hero has survived death, overcome his greatest fear, slain the dragon, or weathered the crisis of the heart, and now earns the Reward that he has sought.  The Hero's Reward comes in many forms:  a magical sword, an elixir, greater knowledge or insight, reconciliation with a lover.  Whatever the treasure, the Hero has earned the right to celebrate.  The Hero may have earned the Reward outright, or the Hero may have seen no option but to steal it.  The Hero may rationalize this Elixir theft, having paid for it with the tests and ordeals thus far.  But the consequences of the theft must be confronted as the Shadow forces race to reclaim the Elixir that must not see the light of the Ordinary World.</w:t>
      </w:r>
      <w:r w:rsidR="00BA6D5E">
        <w:rPr>
          <w:rFonts w:ascii="Trebuchet MS" w:hAnsi="Trebuchet MS"/>
          <w:sz w:val="22"/>
          <w:szCs w:val="20"/>
        </w:rPr>
        <w:br/>
      </w:r>
      <w:r w:rsidR="009350A2">
        <w:rPr>
          <w:rFonts w:ascii="Trebuchet MS" w:hAnsi="Trebuchet MS"/>
          <w:sz w:val="22"/>
          <w:szCs w:val="20"/>
        </w:rPr>
        <w:br/>
      </w:r>
    </w:p>
    <w:p w:rsidR="00D71730" w:rsidRPr="00D71730" w:rsidRDefault="00D71730" w:rsidP="00D71730">
      <w:pPr>
        <w:numPr>
          <w:ilvl w:val="0"/>
          <w:numId w:val="1"/>
        </w:numPr>
        <w:spacing w:beforeLines="1" w:afterLines="1"/>
        <w:rPr>
          <w:rFonts w:ascii="Trebuchet MS" w:hAnsi="Trebuchet MS"/>
          <w:sz w:val="22"/>
          <w:szCs w:val="20"/>
        </w:rPr>
      </w:pPr>
      <w:r w:rsidRPr="00D71730">
        <w:rPr>
          <w:rFonts w:ascii="Trebuchet MS" w:hAnsi="Trebuchet MS"/>
          <w:b/>
          <w:sz w:val="22"/>
          <w:szCs w:val="20"/>
        </w:rPr>
        <w:t>The Road Back</w:t>
      </w:r>
      <w:r w:rsidR="009350A2">
        <w:rPr>
          <w:rFonts w:ascii="Trebuchet MS" w:hAnsi="Trebuchet MS"/>
          <w:sz w:val="22"/>
          <w:szCs w:val="20"/>
        </w:rPr>
        <w:t>: </w:t>
      </w:r>
      <w:r w:rsidRPr="00D71730">
        <w:rPr>
          <w:rFonts w:ascii="Trebuchet MS" w:hAnsi="Trebuchet MS"/>
          <w:sz w:val="22"/>
          <w:szCs w:val="20"/>
        </w:rPr>
        <w:br/>
        <w:t>The Hero must finally recommit to completing the Journey and accept the Road Back to the Ordinary World.  Like Crossing the Threshold, The Road Back needs an event that will push the Hero through the Threshold, back into the Ordinary World.  The Event should re-establish the Central Dramatic Question, pushing the Hero to action and heightening the stakes.  The Road Back may be a moment when the Hero must choose between the Journey of a Higher Cause verses the personal Journey of the Heart.</w:t>
      </w:r>
      <w:r w:rsidR="00537701">
        <w:rPr>
          <w:rFonts w:ascii="Trebuchet MS" w:hAnsi="Trebuchet MS"/>
          <w:sz w:val="22"/>
          <w:szCs w:val="20"/>
        </w:rPr>
        <w:br/>
      </w:r>
    </w:p>
    <w:p w:rsidR="00D71730" w:rsidRPr="00D71730" w:rsidRDefault="00D71730" w:rsidP="00D71730">
      <w:pPr>
        <w:numPr>
          <w:ilvl w:val="0"/>
          <w:numId w:val="1"/>
        </w:numPr>
        <w:spacing w:beforeLines="1" w:afterLines="1"/>
        <w:rPr>
          <w:rFonts w:ascii="Trebuchet MS" w:hAnsi="Trebuchet MS"/>
          <w:sz w:val="22"/>
          <w:szCs w:val="20"/>
        </w:rPr>
      </w:pPr>
      <w:r w:rsidRPr="00D71730">
        <w:rPr>
          <w:rFonts w:ascii="Trebuchet MS" w:hAnsi="Trebuchet MS"/>
          <w:b/>
          <w:sz w:val="22"/>
          <w:szCs w:val="20"/>
        </w:rPr>
        <w:t>Resurrection</w:t>
      </w:r>
      <w:r w:rsidR="009350A2">
        <w:rPr>
          <w:rFonts w:ascii="Trebuchet MS" w:hAnsi="Trebuchet MS"/>
          <w:sz w:val="22"/>
          <w:szCs w:val="20"/>
        </w:rPr>
        <w:t xml:space="preserve"> (radical change after final meet</w:t>
      </w:r>
      <w:r w:rsidR="00BF3654">
        <w:rPr>
          <w:rFonts w:ascii="Trebuchet MS" w:hAnsi="Trebuchet MS"/>
          <w:sz w:val="22"/>
          <w:szCs w:val="20"/>
        </w:rPr>
        <w:t>ing</w:t>
      </w:r>
      <w:r w:rsidR="009350A2">
        <w:rPr>
          <w:rFonts w:ascii="Trebuchet MS" w:hAnsi="Trebuchet MS"/>
          <w:sz w:val="22"/>
          <w:szCs w:val="20"/>
        </w:rPr>
        <w:t xml:space="preserve"> with death)</w:t>
      </w:r>
      <w:r w:rsidR="00BF3654">
        <w:rPr>
          <w:rFonts w:ascii="Trebuchet MS" w:hAnsi="Trebuchet MS"/>
          <w:sz w:val="22"/>
          <w:szCs w:val="20"/>
        </w:rPr>
        <w:t>:</w:t>
      </w:r>
      <w:r w:rsidRPr="00D71730">
        <w:rPr>
          <w:rFonts w:ascii="Trebuchet MS" w:hAnsi="Trebuchet MS"/>
          <w:sz w:val="22"/>
          <w:szCs w:val="20"/>
        </w:rPr>
        <w:br/>
        <w:t xml:space="preserve"> The Hero faces the Resurrection, his most dangerous meeting with death.  This final life-or-death Ordeal shows that the Hero has maintained and can apply all that he has brought back to the Ordinary World.  This Ordeal and Resurrection can represent a </w:t>
      </w:r>
      <w:r w:rsidRPr="00076EC5">
        <w:rPr>
          <w:rFonts w:ascii="Trebuchet MS" w:hAnsi="Trebuchet MS"/>
          <w:b/>
          <w:sz w:val="22"/>
          <w:szCs w:val="20"/>
        </w:rPr>
        <w:t>"cleansing" or purification</w:t>
      </w:r>
      <w:r w:rsidRPr="00D71730">
        <w:rPr>
          <w:rFonts w:ascii="Trebuchet MS" w:hAnsi="Trebuchet MS"/>
          <w:sz w:val="22"/>
          <w:szCs w:val="20"/>
        </w:rPr>
        <w:t xml:space="preserve"> that must occur now that the Hero has emerged from the land of the dead.  </w:t>
      </w:r>
      <w:r w:rsidR="009350A2">
        <w:rPr>
          <w:rFonts w:ascii="Trebuchet MS" w:hAnsi="Trebuchet MS"/>
          <w:sz w:val="22"/>
          <w:szCs w:val="20"/>
        </w:rPr>
        <w:br/>
      </w:r>
      <w:r w:rsidRPr="00D71730">
        <w:rPr>
          <w:rFonts w:ascii="Trebuchet MS" w:hAnsi="Trebuchet MS"/>
          <w:sz w:val="22"/>
          <w:szCs w:val="20"/>
        </w:rPr>
        <w:t xml:space="preserve">The Hero is reborn or transformed with the attributes of the Ordinary self in addition to the </w:t>
      </w:r>
      <w:r w:rsidRPr="00076EC5">
        <w:rPr>
          <w:rFonts w:ascii="Trebuchet MS" w:hAnsi="Trebuchet MS"/>
          <w:b/>
          <w:sz w:val="22"/>
          <w:szCs w:val="20"/>
        </w:rPr>
        <w:t>lessons and insights</w:t>
      </w:r>
      <w:r w:rsidRPr="00D71730">
        <w:rPr>
          <w:rFonts w:ascii="Trebuchet MS" w:hAnsi="Trebuchet MS"/>
          <w:sz w:val="22"/>
          <w:szCs w:val="20"/>
        </w:rPr>
        <w:t xml:space="preserve"> from the characters he has met along the road.  The Resurrection may be a physical Ordeal, or final showdown between the Hero and the Shadow.  This battle is for much more than the Hero's life.  Other lives, or an entire world may be at stake and the Hero must now prove that he has achieved Heroic status and willingly accept his sacrifice for the benefit of the Ordinary World.  Other Allies may come to the last minute rescue to lend assistance, but in the end the Hero must rise to the sacrifice at hand.  He must deliver the blow that destroys the Death Star (</w:t>
      </w:r>
      <w:r w:rsidRPr="00D71730">
        <w:rPr>
          <w:rFonts w:ascii="Trebuchet MS" w:hAnsi="Trebuchet MS"/>
          <w:i/>
          <w:sz w:val="22"/>
          <w:szCs w:val="20"/>
        </w:rPr>
        <w:t>Star Wars</w:t>
      </w:r>
      <w:r w:rsidRPr="00D71730">
        <w:rPr>
          <w:rFonts w:ascii="Trebuchet MS" w:hAnsi="Trebuchet MS"/>
          <w:sz w:val="22"/>
          <w:szCs w:val="20"/>
        </w:rPr>
        <w:t>), or offer his hand and accept the "magic" elixir of love."</w:t>
      </w:r>
      <w:r w:rsidR="00076EC5">
        <w:rPr>
          <w:rFonts w:ascii="Trebuchet MS" w:hAnsi="Trebuchet MS"/>
          <w:sz w:val="22"/>
          <w:szCs w:val="20"/>
        </w:rPr>
        <w:br/>
      </w:r>
    </w:p>
    <w:p w:rsidR="00D71730" w:rsidRPr="00D71730" w:rsidRDefault="00D71730" w:rsidP="00D71730">
      <w:pPr>
        <w:numPr>
          <w:ilvl w:val="0"/>
          <w:numId w:val="1"/>
        </w:numPr>
        <w:spacing w:beforeLines="1" w:afterLines="1"/>
        <w:rPr>
          <w:rFonts w:ascii="Trebuchet MS" w:hAnsi="Trebuchet MS"/>
          <w:sz w:val="22"/>
          <w:szCs w:val="20"/>
        </w:rPr>
      </w:pPr>
      <w:r w:rsidRPr="00D71730">
        <w:rPr>
          <w:rFonts w:ascii="Trebuchet MS" w:hAnsi="Trebuchet MS"/>
          <w:b/>
          <w:sz w:val="22"/>
          <w:szCs w:val="20"/>
        </w:rPr>
        <w:t>Return with the Elixir:</w:t>
      </w:r>
      <w:r w:rsidR="00076EC5">
        <w:rPr>
          <w:rFonts w:ascii="Trebuchet MS" w:hAnsi="Trebuchet MS"/>
          <w:sz w:val="22"/>
          <w:szCs w:val="20"/>
        </w:rPr>
        <w:br/>
      </w:r>
      <w:r w:rsidRPr="00D71730">
        <w:rPr>
          <w:rFonts w:ascii="Trebuchet MS" w:hAnsi="Trebuchet MS"/>
          <w:sz w:val="22"/>
          <w:szCs w:val="20"/>
        </w:rPr>
        <w:t xml:space="preserve">The Hero has been resurrected, purified and has earned the right to be accepted back into the Ordinary World and share the Elixir of the Journey.  The true Hero returns with an Elixir </w:t>
      </w:r>
      <w:r w:rsidRPr="00076EC5">
        <w:rPr>
          <w:rFonts w:ascii="Trebuchet MS" w:hAnsi="Trebuchet MS"/>
          <w:b/>
          <w:sz w:val="22"/>
          <w:szCs w:val="20"/>
        </w:rPr>
        <w:t>to share with others or heal a wounded land</w:t>
      </w:r>
      <w:r w:rsidRPr="00D71730">
        <w:rPr>
          <w:rFonts w:ascii="Trebuchet MS" w:hAnsi="Trebuchet MS"/>
          <w:sz w:val="22"/>
          <w:szCs w:val="20"/>
        </w:rPr>
        <w:t>.  The Elixir can be a great treasure or magic potion.  It could be love, wisdom, or simply the experience of having survived the Special World.  Even the tragic end of a Hero's Journey can yield the best elixir of all, granting the audience greater awareness of us and our world (</w:t>
      </w:r>
      <w:r w:rsidRPr="00D71730">
        <w:rPr>
          <w:rFonts w:ascii="Trebuchet MS" w:hAnsi="Trebuchet MS"/>
          <w:i/>
          <w:sz w:val="22"/>
          <w:szCs w:val="20"/>
        </w:rPr>
        <w:t>Citizen Kane</w:t>
      </w:r>
      <w:r w:rsidRPr="00D71730">
        <w:rPr>
          <w:rFonts w:ascii="Trebuchet MS" w:hAnsi="Trebuchet MS"/>
          <w:sz w:val="22"/>
          <w:szCs w:val="20"/>
        </w:rPr>
        <w:t>).</w:t>
      </w:r>
      <w:r w:rsidR="00076EC5">
        <w:rPr>
          <w:rFonts w:ascii="Trebuchet MS" w:hAnsi="Trebuchet MS"/>
          <w:sz w:val="22"/>
          <w:szCs w:val="20"/>
        </w:rPr>
        <w:br/>
      </w:r>
      <w:r w:rsidR="00076EC5">
        <w:rPr>
          <w:rFonts w:ascii="Trebuchet MS" w:hAnsi="Trebuchet MS"/>
          <w:sz w:val="22"/>
          <w:szCs w:val="20"/>
        </w:rPr>
        <w:br/>
      </w:r>
      <w:r w:rsidR="00076EC5">
        <w:rPr>
          <w:rFonts w:ascii="Trebuchet MS" w:hAnsi="Trebuchet MS"/>
          <w:sz w:val="22"/>
          <w:szCs w:val="20"/>
        </w:rPr>
        <w:br/>
      </w:r>
    </w:p>
    <w:p w:rsidR="00076EC5" w:rsidRDefault="00076EC5">
      <w:pPr>
        <w:rPr>
          <w:sz w:val="22"/>
        </w:rPr>
      </w:pPr>
      <w:r>
        <w:rPr>
          <w:rFonts w:ascii="Trebuchet MS" w:hAnsi="Trebuchet MS"/>
          <w:b/>
        </w:rPr>
        <w:t>Recap the Hero's journey:</w:t>
      </w:r>
    </w:p>
    <w:p w:rsidR="00076EC5" w:rsidRDefault="00076EC5">
      <w:pPr>
        <w:rPr>
          <w:sz w:val="22"/>
        </w:rPr>
      </w:pP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Heroes are introduced in the ORDINARY WORLD, where</w:t>
      </w: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they receive the CALL TO ADVENTURE.</w:t>
      </w: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They are RELUCTANT at first or REFUSE THE CALL, but </w:t>
      </w: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are encouraged by a MENTOR to</w:t>
      </w: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CROSS THE FIRST THRESHOLD and enter the Special World, where</w:t>
      </w: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they encounter TESTS, ALLIES, AND ENEMIES.</w:t>
      </w: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They APPROACH THE INMOST CAVE, crossing a second threshold</w:t>
      </w: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where they endure the ORDEAL.</w:t>
      </w: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They take possession of their REWARD and</w:t>
      </w: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are pursued on THE ROAD BACK to the Ordinary World.</w:t>
      </w: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They cross the third threshold, experience a RESURRECTION, and are transformed  by the experience.</w:t>
      </w:r>
    </w:p>
    <w:p w:rsidR="00076EC5" w:rsidRPr="00076EC5" w:rsidRDefault="00076EC5" w:rsidP="00076EC5">
      <w:pPr>
        <w:numPr>
          <w:ilvl w:val="0"/>
          <w:numId w:val="2"/>
        </w:numPr>
        <w:spacing w:beforeLines="1" w:afterLines="1"/>
        <w:rPr>
          <w:rFonts w:ascii="Trebuchet MS" w:hAnsi="Trebuchet MS"/>
          <w:sz w:val="20"/>
          <w:szCs w:val="20"/>
        </w:rPr>
      </w:pPr>
      <w:r w:rsidRPr="00076EC5">
        <w:rPr>
          <w:rFonts w:ascii="Trebuchet MS" w:hAnsi="Trebuchet MS"/>
          <w:sz w:val="20"/>
          <w:szCs w:val="20"/>
        </w:rPr>
        <w:t>They RETURN WITH THE ELIXIR, a boon or treasure to benefit the Ordinary World. </w:t>
      </w:r>
    </w:p>
    <w:p w:rsidR="009350A2" w:rsidRPr="00D71730" w:rsidRDefault="009350A2">
      <w:pPr>
        <w:rPr>
          <w:sz w:val="22"/>
        </w:rPr>
      </w:pPr>
    </w:p>
    <w:sectPr w:rsidR="009350A2" w:rsidRPr="00D71730" w:rsidSect="00BA6D5E">
      <w:pgSz w:w="12240" w:h="15840"/>
      <w:pgMar w:top="630" w:right="720" w:bottom="864"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7E1F5A"/>
    <w:multiLevelType w:val="multilevel"/>
    <w:tmpl w:val="FBC08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31249D"/>
    <w:multiLevelType w:val="multilevel"/>
    <w:tmpl w:val="A2F62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D71730"/>
    <w:rsid w:val="00076EC5"/>
    <w:rsid w:val="001528DB"/>
    <w:rsid w:val="00537701"/>
    <w:rsid w:val="009350A2"/>
    <w:rsid w:val="00BA6D5E"/>
    <w:rsid w:val="00BF3654"/>
    <w:rsid w:val="00D71730"/>
    <w:rsid w:val="00ED603D"/>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6C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D71730"/>
    <w:pPr>
      <w:spacing w:beforeLines="1" w:afterLines="1"/>
    </w:pPr>
    <w:rPr>
      <w:rFonts w:ascii="Times" w:hAnsi="Times" w:cs="Times New Roman"/>
      <w:sz w:val="20"/>
      <w:szCs w:val="20"/>
    </w:rPr>
  </w:style>
  <w:style w:type="character" w:styleId="Hyperlink">
    <w:name w:val="Hyperlink"/>
    <w:basedOn w:val="DefaultParagraphFont"/>
    <w:uiPriority w:val="99"/>
    <w:rsid w:val="00D71730"/>
    <w:rPr>
      <w:color w:val="0000FF"/>
      <w:u w:val="single"/>
    </w:rPr>
  </w:style>
</w:styles>
</file>

<file path=word/webSettings.xml><?xml version="1.0" encoding="utf-8"?>
<w:webSettings xmlns:r="http://schemas.openxmlformats.org/officeDocument/2006/relationships" xmlns:w="http://schemas.openxmlformats.org/wordprocessingml/2006/main">
  <w:divs>
    <w:div w:id="456685415">
      <w:bodyDiv w:val="1"/>
      <w:marLeft w:val="0"/>
      <w:marRight w:val="0"/>
      <w:marTop w:val="0"/>
      <w:marBottom w:val="0"/>
      <w:divBdr>
        <w:top w:val="none" w:sz="0" w:space="0" w:color="auto"/>
        <w:left w:val="none" w:sz="0" w:space="0" w:color="auto"/>
        <w:bottom w:val="none" w:sz="0" w:space="0" w:color="auto"/>
        <w:right w:val="none" w:sz="0" w:space="0" w:color="auto"/>
      </w:divBdr>
    </w:div>
    <w:div w:id="859128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805</Words>
  <Characters>4590</Characters>
  <Application>Microsoft Macintosh Word</Application>
  <DocSecurity>0</DocSecurity>
  <Lines>38</Lines>
  <Paragraphs>9</Paragraphs>
  <ScaleCrop>false</ScaleCrop>
  <Company>Santa Barbara City College</Company>
  <LinksUpToDate>false</LinksUpToDate>
  <CharactersWithSpaces>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of Media Arts</dc:creator>
  <cp:keywords/>
  <cp:lastModifiedBy>School of Media Arts</cp:lastModifiedBy>
  <cp:revision>5</cp:revision>
  <cp:lastPrinted>2010-11-17T20:14:00Z</cp:lastPrinted>
  <dcterms:created xsi:type="dcterms:W3CDTF">2010-11-17T19:35:00Z</dcterms:created>
  <dcterms:modified xsi:type="dcterms:W3CDTF">2010-11-17T20:15:00Z</dcterms:modified>
</cp:coreProperties>
</file>